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EC995" w14:textId="77777777" w:rsidR="00F438A2" w:rsidRPr="00D51C42" w:rsidRDefault="00BB2094" w:rsidP="00C93E0C">
      <w:pPr>
        <w:spacing w:after="0" w:line="276" w:lineRule="auto"/>
        <w:jc w:val="both"/>
        <w:rPr>
          <w:rFonts w:ascii="Source Sans Pro Semibold" w:eastAsia="Georgia" w:hAnsi="Source Sans Pro Semibold" w:cs="Arial"/>
          <w:color w:val="B91F2C"/>
          <w:sz w:val="20"/>
          <w:szCs w:val="20"/>
          <w:u w:color="BB0005"/>
          <w:lang w:val="en-GB"/>
        </w:rPr>
      </w:pPr>
      <w:r w:rsidRPr="00D51C42">
        <w:rPr>
          <w:rFonts w:ascii="Source Sans Pro Semibold" w:hAnsi="Source Sans Pro Semibold" w:cs="Arial"/>
          <w:color w:val="B91F2C"/>
          <w:sz w:val="20"/>
          <w:szCs w:val="20"/>
          <w:u w:color="BB0005"/>
          <w:lang w:val="en-GB"/>
        </w:rPr>
        <w:t xml:space="preserve">PRESS RELEASE </w:t>
      </w:r>
    </w:p>
    <w:p w14:paraId="67181AC4" w14:textId="77777777" w:rsidR="00F438A2" w:rsidRPr="00D51C42" w:rsidRDefault="00BB2094" w:rsidP="00C93E0C">
      <w:pPr>
        <w:spacing w:after="0" w:line="276" w:lineRule="auto"/>
        <w:ind w:right="1042"/>
        <w:jc w:val="both"/>
        <w:rPr>
          <w:rFonts w:ascii="Source Sans Pro Light" w:eastAsia="Georgia" w:hAnsi="Source Sans Pro Light" w:cs="Arial"/>
          <w:color w:val="120000"/>
          <w:sz w:val="20"/>
          <w:szCs w:val="20"/>
          <w:u w:color="120000"/>
          <w:lang w:val="en-GB"/>
        </w:rPr>
      </w:pPr>
      <w:r w:rsidRPr="00D51C42">
        <w:rPr>
          <w:rFonts w:ascii="Source Sans Pro Light" w:hAnsi="Source Sans Pro Light" w:cs="Arial"/>
          <w:color w:val="120000"/>
          <w:sz w:val="20"/>
          <w:szCs w:val="20"/>
          <w:u w:color="120000"/>
          <w:lang w:val="en-GB"/>
        </w:rPr>
        <w:t>................................................................................................</w:t>
      </w:r>
    </w:p>
    <w:p w14:paraId="22C7AF8A" w14:textId="77777777" w:rsidR="00F438A2" w:rsidRPr="00D51C42" w:rsidRDefault="00F438A2" w:rsidP="00C93E0C">
      <w:pPr>
        <w:spacing w:after="0" w:line="276" w:lineRule="auto"/>
        <w:jc w:val="both"/>
        <w:rPr>
          <w:rFonts w:ascii="Source Sans Pro Light" w:eastAsia="Georgia" w:hAnsi="Source Sans Pro Light" w:cs="Arial"/>
          <w:color w:val="262626"/>
          <w:sz w:val="20"/>
          <w:szCs w:val="20"/>
          <w:u w:color="262626"/>
          <w:lang w:val="en-GB"/>
        </w:rPr>
      </w:pPr>
    </w:p>
    <w:p w14:paraId="3A96C8F3" w14:textId="77777777" w:rsidR="00C245FB" w:rsidRPr="00655BDD" w:rsidRDefault="00C245FB" w:rsidP="00C93E0C">
      <w:pPr>
        <w:spacing w:after="0" w:line="276" w:lineRule="auto"/>
        <w:ind w:right="759"/>
        <w:jc w:val="both"/>
        <w:rPr>
          <w:rFonts w:ascii="Source Sans Pro Semibold" w:eastAsia="Source Sans Pro" w:hAnsi="Source Sans Pro Semibold" w:cs="Arial"/>
          <w:b/>
          <w:bCs/>
          <w:color w:val="auto"/>
          <w:sz w:val="20"/>
          <w:szCs w:val="20"/>
          <w:lang w:val="en-GB"/>
        </w:rPr>
      </w:pPr>
      <w:r w:rsidRPr="00655BDD">
        <w:rPr>
          <w:rFonts w:ascii="Source Sans Pro Semibold" w:eastAsia="Source Sans Pro" w:hAnsi="Source Sans Pro Semibold" w:cs="Arial"/>
          <w:b/>
          <w:bCs/>
          <w:color w:val="auto"/>
          <w:sz w:val="20"/>
          <w:szCs w:val="20"/>
          <w:lang w:val="en-GB"/>
        </w:rPr>
        <w:t xml:space="preserve">Nordic Pet Food Seminar </w:t>
      </w:r>
    </w:p>
    <w:p w14:paraId="57BAD9D1" w14:textId="77777777" w:rsidR="00F438A2" w:rsidRPr="00655BDD" w:rsidRDefault="00A31A0A" w:rsidP="00C93E0C">
      <w:pPr>
        <w:spacing w:after="0" w:line="276" w:lineRule="auto"/>
        <w:ind w:right="759"/>
        <w:jc w:val="both"/>
        <w:rPr>
          <w:rFonts w:ascii="Georgia" w:eastAsia="Georgia" w:hAnsi="Georgia" w:cs="Arial"/>
          <w:bCs/>
          <w:color w:val="B91F2C"/>
          <w:sz w:val="48"/>
          <w:szCs w:val="48"/>
          <w:u w:color="262626"/>
          <w:lang w:val="en-GB"/>
        </w:rPr>
      </w:pPr>
      <w:bookmarkStart w:id="0" w:name="_GoBack"/>
      <w:bookmarkEnd w:id="0"/>
      <w:r w:rsidRPr="00655BDD">
        <w:rPr>
          <w:rFonts w:ascii="Georgia" w:hAnsi="Georgia" w:cs="Arial"/>
          <w:bCs/>
          <w:color w:val="B91F2C"/>
          <w:sz w:val="48"/>
          <w:szCs w:val="48"/>
          <w:u w:color="262626"/>
          <w:lang w:val="en-GB"/>
        </w:rPr>
        <w:t xml:space="preserve">FEDIAF presents </w:t>
      </w:r>
      <w:r w:rsidR="00DA7E2B" w:rsidRPr="00655BDD">
        <w:rPr>
          <w:rFonts w:ascii="Georgia" w:hAnsi="Georgia" w:cs="Arial"/>
          <w:bCs/>
          <w:color w:val="B91F2C"/>
          <w:sz w:val="48"/>
          <w:szCs w:val="48"/>
          <w:u w:color="262626"/>
          <w:lang w:val="en-GB"/>
        </w:rPr>
        <w:t>work</w:t>
      </w:r>
      <w:r w:rsidRPr="00655BDD">
        <w:rPr>
          <w:rFonts w:ascii="Georgia" w:hAnsi="Georgia" w:cs="Arial"/>
          <w:bCs/>
          <w:color w:val="B91F2C"/>
          <w:sz w:val="48"/>
          <w:szCs w:val="48"/>
          <w:u w:color="262626"/>
          <w:lang w:val="en-GB"/>
        </w:rPr>
        <w:t xml:space="preserve"> to European Pet Food Industry</w:t>
      </w:r>
      <w:r w:rsidR="00DA7E2B" w:rsidRPr="00655BDD">
        <w:rPr>
          <w:rFonts w:ascii="Georgia" w:hAnsi="Georgia" w:cs="Arial"/>
          <w:bCs/>
          <w:color w:val="B91F2C"/>
          <w:sz w:val="48"/>
          <w:szCs w:val="48"/>
          <w:u w:color="262626"/>
          <w:lang w:val="en-GB"/>
        </w:rPr>
        <w:t xml:space="preserve"> in Prague</w:t>
      </w:r>
    </w:p>
    <w:p w14:paraId="36431093" w14:textId="77777777" w:rsidR="00F438A2" w:rsidRPr="00D51C42" w:rsidRDefault="00F438A2" w:rsidP="00C93E0C">
      <w:pPr>
        <w:spacing w:after="0" w:line="276" w:lineRule="auto"/>
        <w:jc w:val="both"/>
        <w:rPr>
          <w:rFonts w:ascii="Source Sans Pro Light" w:eastAsia="SourceSansPro-Semibold" w:hAnsi="Source Sans Pro Light" w:cs="Arial"/>
          <w:b/>
          <w:bCs/>
          <w:color w:val="262626"/>
          <w:sz w:val="20"/>
          <w:szCs w:val="20"/>
          <w:u w:color="262626"/>
          <w:lang w:val="en-GB"/>
        </w:rPr>
      </w:pPr>
    </w:p>
    <w:p w14:paraId="45DFB596" w14:textId="77777777" w:rsidR="00F438A2" w:rsidRPr="00D51C42" w:rsidRDefault="00F438A2" w:rsidP="00C93E0C">
      <w:pPr>
        <w:spacing w:after="0" w:line="276" w:lineRule="auto"/>
        <w:jc w:val="both"/>
        <w:rPr>
          <w:rFonts w:ascii="Source Sans Pro Light" w:eastAsia="SourceSansPro-Semibold" w:hAnsi="Source Sans Pro Light" w:cs="Arial"/>
          <w:b/>
          <w:bCs/>
          <w:color w:val="262626"/>
          <w:sz w:val="20"/>
          <w:szCs w:val="20"/>
          <w:u w:color="262626"/>
          <w:lang w:val="en-GB"/>
        </w:rPr>
      </w:pPr>
    </w:p>
    <w:p w14:paraId="324621B2" w14:textId="7CA3BEF8" w:rsidR="00A31A0A" w:rsidRPr="00D51C42" w:rsidRDefault="00A31A0A" w:rsidP="00C93E0C">
      <w:pPr>
        <w:spacing w:after="0" w:line="276" w:lineRule="auto"/>
        <w:ind w:right="475"/>
        <w:jc w:val="both"/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</w:pPr>
      <w:r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>At the Nordic Pet Food Seminar in Prag</w:t>
      </w:r>
      <w:r w:rsidR="00DA7E2B"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>ue</w:t>
      </w:r>
      <w:r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 xml:space="preserve">, </w:t>
      </w:r>
      <w:r w:rsidR="00EC3E10"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 xml:space="preserve">the </w:t>
      </w:r>
      <w:r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 xml:space="preserve">Deputy Secretary General </w:t>
      </w:r>
      <w:r w:rsidR="00EC3E10"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 xml:space="preserve">of the European Pet Food Federation (FEDIAF) </w:t>
      </w:r>
      <w:r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>spoke about the three pillars of self</w:t>
      </w:r>
      <w:r w:rsidR="000B01D8"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>-</w:t>
      </w:r>
      <w:r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 xml:space="preserve"> and co-regulation </w:t>
      </w:r>
      <w:r w:rsidR="00E12CEF"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 xml:space="preserve">underpinning the industry </w:t>
      </w:r>
      <w:r w:rsidR="00213AC4"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 xml:space="preserve">and their role in harmonizing the enforcement of EU regulations to </w:t>
      </w:r>
      <w:r w:rsidR="00E12CEF"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 xml:space="preserve">ensure </w:t>
      </w:r>
      <w:r w:rsidR="00213AC4"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>safe and nutritious pet foo</w:t>
      </w:r>
      <w:r w:rsidR="00E12CEF" w:rsidRPr="00D51C42">
        <w:rPr>
          <w:rFonts w:ascii="Source Sans Pro Semibold" w:eastAsia="Source Sans Pro" w:hAnsi="Source Sans Pro Semibold" w:cs="Arial"/>
          <w:bCs/>
          <w:sz w:val="20"/>
          <w:szCs w:val="20"/>
          <w:lang w:val="en-GB"/>
        </w:rPr>
        <w:t xml:space="preserve">d. </w:t>
      </w:r>
    </w:p>
    <w:p w14:paraId="33684D93" w14:textId="77777777" w:rsidR="00F438A2" w:rsidRPr="00D51C42" w:rsidRDefault="00F438A2" w:rsidP="00C93E0C">
      <w:pPr>
        <w:spacing w:after="0" w:line="276" w:lineRule="auto"/>
        <w:ind w:right="475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</w:p>
    <w:p w14:paraId="6A414ABF" w14:textId="4767BB90" w:rsidR="00EC3E10" w:rsidRPr="00D51C42" w:rsidRDefault="00BB2094" w:rsidP="00C93E0C">
      <w:pPr>
        <w:spacing w:line="276" w:lineRule="auto"/>
        <w:ind w:right="475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  <w:r w:rsidRPr="00D51C42">
        <w:rPr>
          <w:rFonts w:ascii="Source Sans Pro Light" w:eastAsia="Source Sans Pro" w:hAnsi="Source Sans Pro Light" w:cs="Arial"/>
          <w:color w:val="B91F2C"/>
          <w:sz w:val="20"/>
          <w:szCs w:val="20"/>
          <w:u w:color="C00000"/>
          <w:lang w:val="en-GB"/>
        </w:rPr>
        <w:t>Brussels</w:t>
      </w:r>
      <w:r w:rsidR="00A31A0A" w:rsidRPr="00D51C42">
        <w:rPr>
          <w:rFonts w:ascii="Source Sans Pro Light" w:eastAsia="Source Sans Pro" w:hAnsi="Source Sans Pro Light" w:cs="Arial"/>
          <w:color w:val="B91F2C"/>
          <w:sz w:val="20"/>
          <w:szCs w:val="20"/>
          <w:u w:color="C00000"/>
          <w:lang w:val="en-GB"/>
        </w:rPr>
        <w:t>/Prag</w:t>
      </w:r>
      <w:r w:rsidR="00213AC4" w:rsidRPr="00D51C42">
        <w:rPr>
          <w:rFonts w:ascii="Source Sans Pro Light" w:eastAsia="Source Sans Pro" w:hAnsi="Source Sans Pro Light" w:cs="Arial"/>
          <w:color w:val="B91F2C"/>
          <w:sz w:val="20"/>
          <w:szCs w:val="20"/>
          <w:u w:color="C00000"/>
          <w:lang w:val="en-GB"/>
        </w:rPr>
        <w:t>ue</w:t>
      </w:r>
      <w:r w:rsidRPr="00D51C42">
        <w:rPr>
          <w:rFonts w:ascii="Source Sans Pro Light" w:eastAsia="Source Sans Pro" w:hAnsi="Source Sans Pro Light" w:cs="Arial"/>
          <w:color w:val="B91F2C"/>
          <w:sz w:val="20"/>
          <w:szCs w:val="20"/>
          <w:u w:color="C00000"/>
          <w:lang w:val="en-GB"/>
        </w:rPr>
        <w:t xml:space="preserve">, </w:t>
      </w:r>
      <w:r w:rsidR="00A31A0A" w:rsidRPr="00D51C42">
        <w:rPr>
          <w:rFonts w:ascii="Source Sans Pro Light" w:eastAsia="Source Sans Pro" w:hAnsi="Source Sans Pro Light" w:cs="Arial"/>
          <w:color w:val="B91F2C"/>
          <w:sz w:val="20"/>
          <w:szCs w:val="20"/>
          <w:u w:color="C00000"/>
          <w:lang w:val="en-GB"/>
        </w:rPr>
        <w:t>October</w:t>
      </w:r>
      <w:r w:rsidRPr="00D51C42">
        <w:rPr>
          <w:rFonts w:ascii="Source Sans Pro Light" w:eastAsia="Source Sans Pro" w:hAnsi="Source Sans Pro Light" w:cs="Arial"/>
          <w:color w:val="B91F2C"/>
          <w:sz w:val="20"/>
          <w:szCs w:val="20"/>
          <w:u w:color="C00000"/>
          <w:lang w:val="en-GB"/>
        </w:rPr>
        <w:t xml:space="preserve"> 2018</w:t>
      </w:r>
      <w:r w:rsidRPr="00D51C42">
        <w:rPr>
          <w:rFonts w:ascii="Source Sans Pro Light" w:eastAsia="Source Sans Pro" w:hAnsi="Source Sans Pro Light" w:cs="Arial"/>
          <w:color w:val="C00000"/>
          <w:sz w:val="20"/>
          <w:szCs w:val="20"/>
          <w:u w:color="C00000"/>
          <w:lang w:val="en-GB"/>
        </w:rPr>
        <w:t xml:space="preserve"> </w:t>
      </w: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–</w:t>
      </w:r>
      <w:r w:rsidR="00C93E0C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</w:t>
      </w:r>
      <w:r w:rsidR="00213AC4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There 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are more than </w:t>
      </w:r>
      <w:r w:rsidR="00213AC4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50 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EU </w:t>
      </w:r>
      <w:r w:rsidR="00483C0D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laws 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that </w:t>
      </w:r>
      <w:r w:rsidR="00213AC4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apply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to </w:t>
      </w:r>
      <w:r w:rsidR="00213AC4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pet food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– </w:t>
      </w:r>
      <w:r w:rsidR="000912F2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these cover all aspects of the pet food production cycle from the ingredients that can be used to the information which must be on the pet food label. 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“FEDIAF continuously cooperates with the EU </w:t>
      </w:r>
      <w:r w:rsidR="002B1D48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and national authorities 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to keep these harmonised and up-to-date </w:t>
      </w:r>
      <w:r w:rsidR="000B01D8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based on the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latest science</w:t>
      </w:r>
      <w:r w:rsidR="00213AC4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and regulatory developments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”, Julien Ta</w:t>
      </w:r>
      <w:r w:rsidR="00577204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ï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eb said during his speech at the 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4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vertAlign w:val="superscript"/>
          <w:lang w:val="en-GB"/>
        </w:rPr>
        <w:t>th</w:t>
      </w:r>
      <w:r w:rsidR="00042360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Nordic Pet Food Seminar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in Prague. </w:t>
      </w:r>
    </w:p>
    <w:p w14:paraId="4374BFB8" w14:textId="556BD30A" w:rsidR="00183E1E" w:rsidRPr="00D51C42" w:rsidRDefault="001354B6" w:rsidP="00C93E0C">
      <w:pPr>
        <w:spacing w:line="276" w:lineRule="auto"/>
        <w:ind w:right="475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  <w:r w:rsidRPr="00D51C42">
        <w:rPr>
          <w:rFonts w:ascii="Source Sans Pro Light" w:eastAsia="Source Sans Pro" w:hAnsi="Source Sans Pro Light" w:cs="Arial"/>
          <w:bCs/>
          <w:sz w:val="20"/>
          <w:szCs w:val="20"/>
          <w:lang w:val="en-GB"/>
        </w:rPr>
        <w:t>This important pet food event gathers pet food manufacturers, ingredient suppliers and researchers of universities and institutes</w:t>
      </w:r>
      <w:r w:rsidR="000912F2" w:rsidRPr="00D51C42">
        <w:rPr>
          <w:rFonts w:ascii="Source Sans Pro Light" w:eastAsia="Source Sans Pro" w:hAnsi="Source Sans Pro Light" w:cs="Arial"/>
          <w:bCs/>
          <w:sz w:val="20"/>
          <w:szCs w:val="20"/>
          <w:lang w:val="en-GB"/>
        </w:rPr>
        <w:t xml:space="preserve"> from across Europe</w:t>
      </w:r>
      <w:r w:rsidRPr="00D51C42">
        <w:rPr>
          <w:rFonts w:ascii="Source Sans Pro Light" w:eastAsia="Source Sans Pro" w:hAnsi="Source Sans Pro Light" w:cs="Arial"/>
          <w:bCs/>
          <w:sz w:val="20"/>
          <w:szCs w:val="20"/>
          <w:lang w:val="en-GB"/>
        </w:rPr>
        <w:t xml:space="preserve">. </w:t>
      </w: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Taïeb explained: 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“Our association has been building on its excellent track record in terms of safety, nutrition and reputation through three pillars of self</w:t>
      </w:r>
      <w:r w:rsidR="000B01D8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-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and co-regulation:</w:t>
      </w:r>
      <w:r w:rsidR="00CD7C7A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</w:t>
      </w:r>
      <w:r w:rsidR="002B1D48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the 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Nutritional Guidelines, the Good Manufacturing Practice Guide and the Labelling Code.”</w:t>
      </w:r>
    </w:p>
    <w:p w14:paraId="70EBBBF9" w14:textId="77777777" w:rsidR="00577204" w:rsidRPr="00D51C42" w:rsidRDefault="00577204" w:rsidP="00C93E0C">
      <w:pPr>
        <w:spacing w:line="276" w:lineRule="auto"/>
        <w:ind w:right="475"/>
        <w:jc w:val="both"/>
        <w:rPr>
          <w:rFonts w:ascii="Source Sans Pro Semibold" w:eastAsia="Source Sans Pro" w:hAnsi="Source Sans Pro Semibold" w:cs="Arial"/>
          <w:sz w:val="20"/>
          <w:szCs w:val="20"/>
          <w:lang w:val="en-GB"/>
        </w:rPr>
      </w:pPr>
      <w:r w:rsidRPr="00D51C42">
        <w:rPr>
          <w:rFonts w:ascii="Source Sans Pro Semibold" w:eastAsia="Source Sans Pro" w:hAnsi="Source Sans Pro Semibold" w:cs="Arial"/>
          <w:sz w:val="20"/>
          <w:szCs w:val="20"/>
          <w:lang w:val="en-GB"/>
        </w:rPr>
        <w:t>Harmonised approach to regulations</w:t>
      </w:r>
    </w:p>
    <w:p w14:paraId="1E974043" w14:textId="3BB1A6A1" w:rsidR="00C245FB" w:rsidRPr="00D51C42" w:rsidRDefault="001354B6" w:rsidP="00C93E0C">
      <w:pPr>
        <w:spacing w:line="276" w:lineRule="auto"/>
        <w:ind w:right="475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As the first pillar of self- and co-regulation, t</w:t>
      </w:r>
      <w:r w:rsidR="00042360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he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2018 </w:t>
      </w:r>
      <w:r w:rsidR="00042360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version of the 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Nutritional Guidelines for Cat and Dog Food </w:t>
      </w:r>
      <w:r w:rsidR="00042360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was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presented to </w:t>
      </w:r>
      <w:r w:rsidR="00DA7E2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representatives </w:t>
      </w:r>
      <w:r w:rsidR="000B01D8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from </w:t>
      </w:r>
      <w:r w:rsidR="00DA7E2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the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pet food industry. </w:t>
      </w:r>
      <w:r w:rsidR="00042360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T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he</w:t>
      </w:r>
      <w:r w:rsidR="00821D32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document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</w:t>
      </w:r>
      <w:r w:rsidR="00483C0D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serve</w:t>
      </w:r>
      <w:r w:rsidR="00821D32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s</w:t>
      </w:r>
      <w:r w:rsidR="00483C0D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as 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a practical guide for cat and dog food manufacturers</w:t>
      </w:r>
      <w:r w:rsidR="00042360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and sets nutritional requirements benchmarked against science for use by the whole industry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. “Being updated a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nnually 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wi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th the help of a Scientific Advisory Board composed of European pet nutritionists from universities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, our Nutritional Guidelines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are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the reference document for producing complete </w:t>
      </w:r>
      <w:r w:rsidR="00042360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pet food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”, Ta</w:t>
      </w:r>
      <w:r w:rsidR="00577204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ï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eb said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. </w:t>
      </w:r>
    </w:p>
    <w:p w14:paraId="237CEF43" w14:textId="00EBFF18" w:rsidR="001354B6" w:rsidRPr="00D51C42" w:rsidRDefault="00577204" w:rsidP="00C93E0C">
      <w:pPr>
        <w:spacing w:line="276" w:lineRule="auto"/>
        <w:ind w:right="475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T</w:t>
      </w:r>
      <w:r w:rsidR="00183E1E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he 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FEDIAF Good Manufacturing Practice Guide</w:t>
      </w: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is the second pillar</w:t>
      </w:r>
      <w:r w:rsidR="000912F2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. </w:t>
      </w:r>
      <w:r w:rsidR="00C93E0C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T</w:t>
      </w:r>
      <w:r w:rsidR="00483C0D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his guide 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summarises the requirements any pet food manufacturer must fulfil to </w:t>
      </w:r>
      <w:r w:rsidR="004B574A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put in place </w:t>
      </w:r>
      <w:r w:rsidR="00042360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a robust pet food safety management system </w:t>
      </w:r>
      <w:r w:rsidR="00213B20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in order </w:t>
      </w:r>
      <w:r w:rsidR="000912F2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to 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produce safe pet food. </w:t>
      </w:r>
    </w:p>
    <w:p w14:paraId="3979812A" w14:textId="78A5F3D6" w:rsidR="004B574A" w:rsidRPr="00D51C42" w:rsidRDefault="00577204" w:rsidP="00C93E0C">
      <w:pPr>
        <w:spacing w:line="276" w:lineRule="auto"/>
        <w:ind w:right="475"/>
        <w:jc w:val="both"/>
        <w:rPr>
          <w:rFonts w:ascii="Source Sans Pro Light" w:eastAsia="Source Sans Pro" w:hAnsi="Source Sans Pro Light" w:cs="Arial"/>
          <w:b/>
          <w:sz w:val="20"/>
          <w:szCs w:val="20"/>
          <w:lang w:val="en-GB"/>
        </w:rPr>
      </w:pP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The third pillar is the FEDIAF Labelling Code that </w:t>
      </w:r>
      <w:r w:rsidR="004B574A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covers information on product use, control and enforcement, retail and marketing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and</w:t>
      </w:r>
      <w:r w:rsidR="004B574A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provides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clear rules </w:t>
      </w:r>
      <w:r w:rsidR="004B574A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and examples 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on product claims</w:t>
      </w: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. “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EU labelling regulations cannot </w:t>
      </w:r>
      <w:r w:rsidR="00483C0D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specify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</w:t>
      </w:r>
      <w:r w:rsidR="000B01D8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every 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detail </w:t>
      </w:r>
      <w:r w:rsidR="00483C0D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that </w:t>
      </w:r>
      <w:r w:rsidR="000B01D8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would </w:t>
      </w:r>
      <w:r w:rsidR="00483C0D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cover 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all commercial situations</w:t>
      </w:r>
      <w:r w:rsidR="004B574A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;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</w:t>
      </w:r>
      <w:r w:rsidR="004B574A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the 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Code </w:t>
      </w:r>
      <w:r w:rsidR="004B574A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thus </w:t>
      </w:r>
      <w:r w:rsidR="00483C0D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provides 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practical guidance</w:t>
      </w:r>
      <w:r w:rsidR="004B574A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on how labelling requirements should be applied and implemented in order to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</w:t>
      </w:r>
      <w:r w:rsidR="004B574A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ensure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a level playing field for </w:t>
      </w:r>
      <w:r w:rsidR="000912F2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manufacturers or pet food companies</w:t>
      </w: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”, Taïeb explained</w:t>
      </w:r>
      <w:r w:rsidR="00C245F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. </w:t>
      </w:r>
    </w:p>
    <w:p w14:paraId="05D16D6B" w14:textId="3BE0C886" w:rsidR="00A31A0A" w:rsidRPr="00D51C42" w:rsidRDefault="00577204" w:rsidP="00C93E0C">
      <w:pPr>
        <w:spacing w:line="276" w:lineRule="auto"/>
        <w:jc w:val="both"/>
        <w:rPr>
          <w:rFonts w:ascii="Source Sans Pro Semibold" w:eastAsia="Source Sans Pro" w:hAnsi="Source Sans Pro Semibold" w:cs="Arial"/>
          <w:sz w:val="20"/>
          <w:szCs w:val="20"/>
          <w:lang w:val="en-GB"/>
        </w:rPr>
      </w:pPr>
      <w:r w:rsidRPr="00D51C42">
        <w:rPr>
          <w:rFonts w:ascii="Source Sans Pro Semibold" w:eastAsia="Source Sans Pro" w:hAnsi="Source Sans Pro Semibold" w:cs="Arial"/>
          <w:sz w:val="20"/>
          <w:szCs w:val="20"/>
          <w:lang w:val="en-GB"/>
        </w:rPr>
        <w:lastRenderedPageBreak/>
        <w:t>Free download</w:t>
      </w:r>
    </w:p>
    <w:p w14:paraId="58CBFA6E" w14:textId="77777777" w:rsidR="001278BB" w:rsidRPr="00D51C42" w:rsidRDefault="00A31A0A" w:rsidP="00C93E0C">
      <w:pPr>
        <w:spacing w:after="0" w:line="276" w:lineRule="auto"/>
        <w:ind w:right="475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The</w:t>
      </w:r>
      <w:r w:rsidR="00DA7E2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</w:t>
      </w:r>
      <w:r w:rsidR="001278B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three self- and c</w:t>
      </w:r>
      <w:r w:rsidR="002B1D48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o-regulation documents mentioned above </w:t>
      </w: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can be downloaded for free </w:t>
      </w:r>
      <w:r w:rsidR="002B1D48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on </w:t>
      </w: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the FEDIAF website: </w:t>
      </w:r>
    </w:p>
    <w:p w14:paraId="27809A3F" w14:textId="77777777" w:rsidR="001278BB" w:rsidRPr="00D51C42" w:rsidRDefault="001278BB" w:rsidP="00C93E0C">
      <w:pPr>
        <w:spacing w:after="0" w:line="276" w:lineRule="auto"/>
        <w:ind w:right="475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</w:p>
    <w:p w14:paraId="1ADD54C8" w14:textId="0EAD1F50" w:rsidR="001278BB" w:rsidRPr="00655BDD" w:rsidRDefault="00D51C42" w:rsidP="00C93E0C">
      <w:pPr>
        <w:spacing w:after="0" w:line="276" w:lineRule="auto"/>
        <w:ind w:right="475"/>
        <w:jc w:val="both"/>
        <w:rPr>
          <w:rFonts w:ascii="Source Sans Pro Light" w:eastAsia="Source Sans Pro" w:hAnsi="Source Sans Pro Light" w:cs="Arial"/>
          <w:color w:val="B91F2C"/>
          <w:sz w:val="20"/>
          <w:szCs w:val="20"/>
          <w:u w:val="single"/>
          <w:lang w:val="en-GB"/>
        </w:rPr>
      </w:pPr>
      <w:r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fldChar w:fldCharType="begin"/>
      </w:r>
      <w:r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instrText xml:space="preserve"> HYPERLINK "http://www.fediaf.org/self-regulation/nutrition.html" </w:instrText>
      </w:r>
      <w:r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fldChar w:fldCharType="separate"/>
      </w:r>
      <w:r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t>www.fediaf.org/self-regulation/nutrition.html</w:t>
      </w:r>
      <w:r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fldChar w:fldCharType="end"/>
      </w:r>
    </w:p>
    <w:p w14:paraId="52A59B64" w14:textId="0EC90D76" w:rsidR="001278BB" w:rsidRPr="00655BDD" w:rsidRDefault="00D51C42" w:rsidP="00C93E0C">
      <w:pPr>
        <w:spacing w:after="0" w:line="276" w:lineRule="auto"/>
        <w:ind w:right="475"/>
        <w:jc w:val="both"/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</w:pPr>
      <w:r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fldChar w:fldCharType="begin"/>
      </w:r>
      <w:r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instrText xml:space="preserve"> HYPERLINK "http://www.fediaf.org/self-regulation/labelling.html" </w:instrText>
      </w:r>
      <w:r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</w:r>
      <w:r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fldChar w:fldCharType="separate"/>
      </w:r>
      <w:r w:rsidR="001278BB"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t>www.fediaf.org/self-regulation/labe</w:t>
      </w:r>
      <w:r w:rsidR="001278BB"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t>l</w:t>
      </w:r>
      <w:r w:rsidR="001278BB"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t>ling.html</w:t>
      </w:r>
    </w:p>
    <w:p w14:paraId="4E5F51D3" w14:textId="01E08928" w:rsidR="00A31A0A" w:rsidRPr="00655BDD" w:rsidRDefault="00D51C42" w:rsidP="00C93E0C">
      <w:pPr>
        <w:spacing w:after="0" w:line="276" w:lineRule="auto"/>
        <w:ind w:right="475"/>
        <w:jc w:val="both"/>
        <w:rPr>
          <w:rFonts w:ascii="Source Sans Pro Light" w:eastAsia="Source Sans Pro" w:hAnsi="Source Sans Pro Light" w:cs="Arial"/>
          <w:color w:val="B91F2C"/>
          <w:sz w:val="20"/>
          <w:szCs w:val="20"/>
          <w:u w:val="single"/>
          <w:lang w:val="en-GB"/>
        </w:rPr>
      </w:pPr>
      <w:r w:rsidRPr="00655BDD">
        <w:rPr>
          <w:rStyle w:val="Hyperlink"/>
          <w:rFonts w:ascii="Source Sans Pro Light" w:eastAsia="Source Sans Pro" w:hAnsi="Source Sans Pro Light" w:cs="Arial"/>
          <w:color w:val="B91F2C"/>
          <w:sz w:val="20"/>
          <w:szCs w:val="20"/>
          <w:lang w:val="en-GB"/>
        </w:rPr>
        <w:fldChar w:fldCharType="end"/>
      </w:r>
      <w:hyperlink r:id="rId8" w:history="1">
        <w:r w:rsidR="007926D7" w:rsidRPr="00655BDD">
          <w:rPr>
            <w:rStyle w:val="Hyperlink"/>
            <w:rFonts w:ascii="Source Sans Pro Light" w:eastAsia="Source Sans Pro" w:hAnsi="Source Sans Pro Light" w:cs="Arial"/>
            <w:color w:val="B91F2C"/>
            <w:sz w:val="20"/>
            <w:szCs w:val="20"/>
            <w:lang w:val="en-GB"/>
          </w:rPr>
          <w:t>www.fediaf.org/self-regulation/safety.html</w:t>
        </w:r>
      </w:hyperlink>
    </w:p>
    <w:p w14:paraId="39D2EF15" w14:textId="77777777" w:rsidR="00A31A0A" w:rsidRPr="00D51C42" w:rsidRDefault="00A31A0A" w:rsidP="00C93E0C">
      <w:pPr>
        <w:spacing w:line="276" w:lineRule="auto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</w:p>
    <w:p w14:paraId="6C2AD3E4" w14:textId="0AE2D83A" w:rsidR="00C245FB" w:rsidRPr="00D51C42" w:rsidRDefault="007926D7" w:rsidP="00C93E0C">
      <w:pPr>
        <w:spacing w:after="0" w:line="276" w:lineRule="auto"/>
        <w:ind w:right="475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  <w:r w:rsidRPr="00D51C42">
        <w:rPr>
          <w:rFonts w:ascii="Source Sans Pro Light" w:eastAsia="Times New Roman" w:hAnsi="Source Sans Pro Light"/>
          <w:noProof/>
          <w:sz w:val="20"/>
          <w:szCs w:val="20"/>
          <w:lang w:val="en-GB" w:eastAsia="en-US"/>
        </w:rPr>
        <w:drawing>
          <wp:inline distT="0" distB="0" distL="0" distR="0" wp14:anchorId="4C0F9CF3" wp14:editId="27CF9BFD">
            <wp:extent cx="3600450" cy="2844800"/>
            <wp:effectExtent l="0" t="0" r="0" b="0"/>
            <wp:docPr id="3" name="Picture 3" descr="cid:7f2b7e14-2cea-45c2-b398-0486aa4c10c5@eurprd0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f2b7e14-2cea-45c2-b398-0486aa4c10c5@eurprd08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9" r="39719"/>
                    <a:stretch/>
                  </pic:blipFill>
                  <pic:spPr bwMode="auto">
                    <a:xfrm>
                      <a:off x="0" y="0"/>
                      <a:ext cx="36004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FB4CF" w14:textId="77777777" w:rsidR="00FB6D76" w:rsidRPr="00D51C42" w:rsidRDefault="00FB6D76" w:rsidP="00C93E0C">
      <w:pPr>
        <w:spacing w:after="0" w:line="276" w:lineRule="auto"/>
        <w:ind w:right="475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</w:p>
    <w:p w14:paraId="6F984116" w14:textId="357D645F" w:rsidR="00FB6D76" w:rsidRPr="00D51C42" w:rsidRDefault="00C93E0C" w:rsidP="00C93E0C">
      <w:pPr>
        <w:spacing w:after="0" w:line="276" w:lineRule="auto"/>
        <w:ind w:right="3736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Julien Taïeb, Deputy Secretary General of FEDIAF, presented FEDIAF’s work during </w:t>
      </w:r>
      <w:r w:rsidR="001278BB"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the </w:t>
      </w: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>4</w:t>
      </w:r>
      <w:r w:rsidRPr="00D51C42">
        <w:rPr>
          <w:rFonts w:ascii="Source Sans Pro Light" w:eastAsia="Source Sans Pro" w:hAnsi="Source Sans Pro Light" w:cs="Arial"/>
          <w:sz w:val="20"/>
          <w:szCs w:val="20"/>
          <w:vertAlign w:val="superscript"/>
          <w:lang w:val="en-GB"/>
        </w:rPr>
        <w:t>th</w:t>
      </w:r>
      <w:r w:rsidRPr="00D51C42">
        <w:rPr>
          <w:rFonts w:ascii="Source Sans Pro Light" w:eastAsia="Source Sans Pro" w:hAnsi="Source Sans Pro Light" w:cs="Arial"/>
          <w:sz w:val="20"/>
          <w:szCs w:val="20"/>
          <w:lang w:val="en-GB"/>
        </w:rPr>
        <w:t xml:space="preserve"> Nordic Pet Food Seminar in Prague.</w:t>
      </w:r>
    </w:p>
    <w:p w14:paraId="3EF691B2" w14:textId="77777777" w:rsidR="00E92306" w:rsidRPr="00D51C42" w:rsidRDefault="00E92306" w:rsidP="00C93E0C">
      <w:pPr>
        <w:spacing w:after="0" w:line="276" w:lineRule="auto"/>
        <w:ind w:right="475"/>
        <w:jc w:val="both"/>
        <w:rPr>
          <w:rFonts w:ascii="Source Sans Pro Light" w:eastAsia="Source Sans Pro" w:hAnsi="Source Sans Pro Light" w:cs="Arial"/>
          <w:sz w:val="20"/>
          <w:szCs w:val="20"/>
          <w:lang w:val="en-GB"/>
        </w:rPr>
      </w:pPr>
    </w:p>
    <w:p w14:paraId="14403036" w14:textId="77777777" w:rsidR="00F438A2" w:rsidRPr="00D51C42" w:rsidRDefault="00F438A2" w:rsidP="00C93E0C">
      <w:pPr>
        <w:tabs>
          <w:tab w:val="left" w:pos="8222"/>
        </w:tabs>
        <w:spacing w:after="0" w:line="276" w:lineRule="auto"/>
        <w:ind w:right="1184"/>
        <w:jc w:val="both"/>
        <w:rPr>
          <w:rFonts w:ascii="Source Sans Pro Light" w:eastAsia="SourceSansPro-Light" w:hAnsi="Source Sans Pro Light" w:cs="Arial"/>
          <w:color w:val="262626"/>
          <w:sz w:val="20"/>
          <w:szCs w:val="20"/>
          <w:u w:color="262626"/>
          <w:lang w:val="en-GB"/>
        </w:rPr>
      </w:pPr>
    </w:p>
    <w:p w14:paraId="7D863339" w14:textId="77777777" w:rsidR="00F438A2" w:rsidRPr="00D51C42" w:rsidRDefault="00BB2094" w:rsidP="00C93E0C">
      <w:pPr>
        <w:spacing w:line="276" w:lineRule="auto"/>
        <w:ind w:right="1184"/>
        <w:jc w:val="center"/>
        <w:rPr>
          <w:rFonts w:ascii="Source Sans Pro Light" w:eastAsia="SourceSansPro-Semibold" w:hAnsi="Source Sans Pro Light" w:cs="Arial"/>
          <w:b/>
          <w:bCs/>
          <w:color w:val="262626"/>
          <w:sz w:val="20"/>
          <w:szCs w:val="20"/>
          <w:u w:color="262626"/>
          <w:lang w:val="en-GB"/>
        </w:rPr>
      </w:pPr>
      <w:r w:rsidRPr="00D51C42">
        <w:rPr>
          <w:rFonts w:ascii="Source Sans Pro Light" w:eastAsia="SourceSansPro-Semibold" w:hAnsi="Source Sans Pro Light" w:cs="Arial"/>
          <w:b/>
          <w:bCs/>
          <w:color w:val="262626"/>
          <w:sz w:val="20"/>
          <w:szCs w:val="20"/>
          <w:u w:color="262626"/>
          <w:lang w:val="en-GB"/>
        </w:rPr>
        <w:t>***</w:t>
      </w:r>
    </w:p>
    <w:p w14:paraId="206806F9" w14:textId="77C80B7C" w:rsidR="00F438A2" w:rsidRPr="00D51C42" w:rsidRDefault="00BB2094" w:rsidP="00C93E0C">
      <w:pPr>
        <w:spacing w:line="276" w:lineRule="auto"/>
        <w:ind w:right="475"/>
        <w:jc w:val="both"/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</w:pPr>
      <w:r w:rsidRPr="00D51C42">
        <w:rPr>
          <w:rFonts w:ascii="Source Sans Pro Light" w:eastAsia="SourceSansPro-Semibold" w:hAnsi="Source Sans Pro Light" w:cs="Arial"/>
          <w:b/>
          <w:bCs/>
          <w:i/>
          <w:iCs/>
          <w:color w:val="262626"/>
          <w:sz w:val="20"/>
          <w:szCs w:val="20"/>
          <w:u w:color="262626"/>
          <w:lang w:val="en-GB"/>
        </w:rPr>
        <w:t>FEDIAF</w:t>
      </w:r>
      <w:r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 xml:space="preserve"> represents the European pet food industry with around 200 production sites. </w:t>
      </w:r>
      <w:r w:rsidR="00962A58"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>Serving as</w:t>
      </w:r>
      <w:r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 xml:space="preserve"> an umbrella organization of national pet food industry associations</w:t>
      </w:r>
      <w:r w:rsidR="00962A58"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>,</w:t>
      </w:r>
      <w:r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 xml:space="preserve"> FEDIAF</w:t>
      </w:r>
      <w:r w:rsidR="00962A58"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>’</w:t>
      </w:r>
      <w:r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 xml:space="preserve">s mission is to be the credible and responsible voice of the European pet food industry collaborating with authorities, regulators and academics for achieving </w:t>
      </w:r>
      <w:r w:rsidR="00D51C42"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>favourable</w:t>
      </w:r>
      <w:r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 xml:space="preserve"> conditions for the supply of safe, nutritious and palatable products to pets and their owners. Based in Brussels, FEDIAF is fully committed to promoting responsible pet ownership,</w:t>
      </w:r>
      <w:r w:rsidR="00EF18E4"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 xml:space="preserve"> </w:t>
      </w:r>
      <w:r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>to the wellbeing of pet animals,</w:t>
      </w:r>
      <w:r w:rsidR="00EF18E4"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 xml:space="preserve"> </w:t>
      </w:r>
      <w:r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 xml:space="preserve">to their important social role and to the respect of sustainable development. </w:t>
      </w:r>
      <w:hyperlink r:id="rId11" w:history="1">
        <w:r w:rsidRPr="00D51C42">
          <w:rPr>
            <w:rStyle w:val="Hyperlink0"/>
            <w:rFonts w:ascii="Source Sans Pro Light" w:hAnsi="Source Sans Pro Light" w:cs="Arial"/>
            <w:color w:val="B91F2C"/>
            <w:sz w:val="20"/>
            <w:szCs w:val="20"/>
            <w:lang w:val="en-GB"/>
          </w:rPr>
          <w:t>www.fediaf.org</w:t>
        </w:r>
      </w:hyperlink>
      <w:r w:rsidRPr="00D51C42">
        <w:rPr>
          <w:rFonts w:ascii="Source Sans Pro Light" w:eastAsia="SourceSansPro-Semibold" w:hAnsi="Source Sans Pro Light" w:cs="Arial"/>
          <w:i/>
          <w:iCs/>
          <w:color w:val="B91F2C"/>
          <w:sz w:val="20"/>
          <w:szCs w:val="20"/>
          <w:u w:color="262626"/>
          <w:lang w:val="en-GB"/>
        </w:rPr>
        <w:t xml:space="preserve"> </w:t>
      </w:r>
    </w:p>
    <w:p w14:paraId="51E03C46" w14:textId="77777777" w:rsidR="00F438A2" w:rsidRPr="00D51C42" w:rsidRDefault="00BB2094" w:rsidP="00C93E0C">
      <w:pPr>
        <w:spacing w:line="276" w:lineRule="auto"/>
        <w:ind w:right="475"/>
        <w:jc w:val="both"/>
        <w:rPr>
          <w:rFonts w:ascii="Source Sans Pro Light" w:hAnsi="Source Sans Pro Light" w:cs="Arial"/>
          <w:sz w:val="20"/>
          <w:szCs w:val="20"/>
          <w:lang w:val="en-GB"/>
        </w:rPr>
      </w:pPr>
      <w:r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 xml:space="preserve">Contact: Thomas Meyer, Secretary General, + 32 (2) 536 05 20 – </w:t>
      </w:r>
      <w:hyperlink r:id="rId12" w:history="1">
        <w:r w:rsidRPr="00D51C42">
          <w:rPr>
            <w:rStyle w:val="Hyperlink0"/>
            <w:rFonts w:ascii="Source Sans Pro Light" w:hAnsi="Source Sans Pro Light" w:cs="Arial"/>
            <w:color w:val="B91F2C"/>
            <w:sz w:val="20"/>
            <w:szCs w:val="20"/>
            <w:lang w:val="en-GB"/>
          </w:rPr>
          <w:t>fediaf@fediaf.org</w:t>
        </w:r>
      </w:hyperlink>
      <w:r w:rsidRPr="00D51C42">
        <w:rPr>
          <w:rFonts w:ascii="Source Sans Pro Light" w:eastAsia="SourceSansPro-Semibold" w:hAnsi="Source Sans Pro Light" w:cs="Arial"/>
          <w:i/>
          <w:iCs/>
          <w:color w:val="262626"/>
          <w:sz w:val="20"/>
          <w:szCs w:val="20"/>
          <w:u w:color="262626"/>
          <w:lang w:val="en-GB"/>
        </w:rPr>
        <w:t xml:space="preserve">  </w:t>
      </w:r>
    </w:p>
    <w:sectPr w:rsidR="00F438A2" w:rsidRPr="00D51C42" w:rsidSect="00F438A2">
      <w:headerReference w:type="default" r:id="rId13"/>
      <w:pgSz w:w="12240" w:h="15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95019" w14:textId="77777777" w:rsidR="009E1824" w:rsidRDefault="009E1824" w:rsidP="00F438A2">
      <w:pPr>
        <w:spacing w:after="0" w:line="240" w:lineRule="auto"/>
      </w:pPr>
      <w:r>
        <w:separator/>
      </w:r>
    </w:p>
  </w:endnote>
  <w:endnote w:type="continuationSeparator" w:id="0">
    <w:p w14:paraId="7AECA206" w14:textId="77777777" w:rsidR="009E1824" w:rsidRDefault="009E1824" w:rsidP="00F4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ourceSansPro-Semibol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">
    <w:altName w:val="Cambria Math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SansPro-Light">
    <w:altName w:val="Arial Unicode MS"/>
    <w:panose1 w:val="00000000000000000000"/>
    <w:charset w:val="00"/>
    <w:family w:val="swiss"/>
    <w:notTrueType/>
    <w:pitch w:val="default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2005C" w14:textId="77777777" w:rsidR="009E1824" w:rsidRDefault="009E1824" w:rsidP="00F438A2">
      <w:pPr>
        <w:spacing w:after="0" w:line="240" w:lineRule="auto"/>
      </w:pPr>
      <w:r>
        <w:separator/>
      </w:r>
    </w:p>
  </w:footnote>
  <w:footnote w:type="continuationSeparator" w:id="0">
    <w:p w14:paraId="64D7A109" w14:textId="77777777" w:rsidR="009E1824" w:rsidRDefault="009E1824" w:rsidP="00F4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9454" w14:textId="6D67D274" w:rsidR="00F438A2" w:rsidRDefault="00D43757">
    <w:pPr>
      <w:pStyle w:val="Header"/>
      <w:tabs>
        <w:tab w:val="clear" w:pos="9406"/>
        <w:tab w:val="right" w:pos="9386"/>
      </w:tabs>
      <w:jc w:val="right"/>
    </w:pPr>
    <w:r>
      <w:rPr>
        <w:noProof/>
      </w:rPr>
      <w:drawing>
        <wp:inline distT="0" distB="0" distL="0" distR="0" wp14:anchorId="0E0E461E" wp14:editId="2EA5A71A">
          <wp:extent cx="720000" cy="7632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ECD1B" w14:textId="77777777" w:rsidR="00C93E0C" w:rsidRDefault="00C93E0C">
    <w:pPr>
      <w:pStyle w:val="Header"/>
      <w:tabs>
        <w:tab w:val="clear" w:pos="9406"/>
        <w:tab w:val="right" w:pos="9386"/>
      </w:tabs>
      <w:jc w:val="right"/>
    </w:pPr>
  </w:p>
  <w:p w14:paraId="711F63AA" w14:textId="77777777" w:rsidR="00C93E0C" w:rsidRDefault="00C93E0C">
    <w:pPr>
      <w:pStyle w:val="Header"/>
      <w:tabs>
        <w:tab w:val="clear" w:pos="9406"/>
        <w:tab w:val="right" w:pos="938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96451"/>
    <w:multiLevelType w:val="hybridMultilevel"/>
    <w:tmpl w:val="71DA5CF8"/>
    <w:lvl w:ilvl="0" w:tplc="07C0B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69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03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6C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4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4D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83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AF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86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794EA4"/>
    <w:multiLevelType w:val="hybridMultilevel"/>
    <w:tmpl w:val="842CF7DE"/>
    <w:lvl w:ilvl="0" w:tplc="AE160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80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E7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0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A8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45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00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84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88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E112BC"/>
    <w:multiLevelType w:val="hybridMultilevel"/>
    <w:tmpl w:val="D4427C52"/>
    <w:lvl w:ilvl="0" w:tplc="F78E9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0E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C6C68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ACA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8E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46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2D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2E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40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4F64BB"/>
    <w:multiLevelType w:val="hybridMultilevel"/>
    <w:tmpl w:val="3C40D0F6"/>
    <w:lvl w:ilvl="0" w:tplc="1AB29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EC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CF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8E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6B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67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AA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4E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C8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9A74DE"/>
    <w:multiLevelType w:val="hybridMultilevel"/>
    <w:tmpl w:val="6E204862"/>
    <w:lvl w:ilvl="0" w:tplc="259C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051BE">
      <w:start w:val="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C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4E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86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04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6E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A0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22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666D49"/>
    <w:multiLevelType w:val="hybridMultilevel"/>
    <w:tmpl w:val="9834A54C"/>
    <w:lvl w:ilvl="0" w:tplc="DF685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A5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63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8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27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69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AC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E3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A7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A2"/>
    <w:rsid w:val="0000164F"/>
    <w:rsid w:val="00042360"/>
    <w:rsid w:val="00067BA6"/>
    <w:rsid w:val="000912F2"/>
    <w:rsid w:val="00091AD2"/>
    <w:rsid w:val="000B01D8"/>
    <w:rsid w:val="001224CC"/>
    <w:rsid w:val="001278BB"/>
    <w:rsid w:val="001354B6"/>
    <w:rsid w:val="0014513F"/>
    <w:rsid w:val="00183E1E"/>
    <w:rsid w:val="00186E9A"/>
    <w:rsid w:val="00193391"/>
    <w:rsid w:val="001A5C5C"/>
    <w:rsid w:val="001F28C3"/>
    <w:rsid w:val="00213AC4"/>
    <w:rsid w:val="00213B20"/>
    <w:rsid w:val="00215295"/>
    <w:rsid w:val="00251AAE"/>
    <w:rsid w:val="002A0106"/>
    <w:rsid w:val="002B1D48"/>
    <w:rsid w:val="002E264C"/>
    <w:rsid w:val="003014C6"/>
    <w:rsid w:val="00380B02"/>
    <w:rsid w:val="003C75DD"/>
    <w:rsid w:val="003D42A3"/>
    <w:rsid w:val="00447670"/>
    <w:rsid w:val="00483C0D"/>
    <w:rsid w:val="004B4558"/>
    <w:rsid w:val="004B574A"/>
    <w:rsid w:val="004D131A"/>
    <w:rsid w:val="00577204"/>
    <w:rsid w:val="005C3071"/>
    <w:rsid w:val="006330A5"/>
    <w:rsid w:val="00655BDD"/>
    <w:rsid w:val="00664648"/>
    <w:rsid w:val="00694ADA"/>
    <w:rsid w:val="006953B0"/>
    <w:rsid w:val="006C328A"/>
    <w:rsid w:val="007341F2"/>
    <w:rsid w:val="0074101B"/>
    <w:rsid w:val="00744316"/>
    <w:rsid w:val="00756B97"/>
    <w:rsid w:val="00760C6E"/>
    <w:rsid w:val="00785611"/>
    <w:rsid w:val="007926D7"/>
    <w:rsid w:val="00820A52"/>
    <w:rsid w:val="00821D32"/>
    <w:rsid w:val="00886154"/>
    <w:rsid w:val="00897C23"/>
    <w:rsid w:val="008B3A20"/>
    <w:rsid w:val="008E4787"/>
    <w:rsid w:val="008F659C"/>
    <w:rsid w:val="00932E5C"/>
    <w:rsid w:val="009530E5"/>
    <w:rsid w:val="0096250E"/>
    <w:rsid w:val="00962A58"/>
    <w:rsid w:val="00970286"/>
    <w:rsid w:val="009A70E7"/>
    <w:rsid w:val="009D3751"/>
    <w:rsid w:val="009E1824"/>
    <w:rsid w:val="00A12E2E"/>
    <w:rsid w:val="00A31A0A"/>
    <w:rsid w:val="00B1711C"/>
    <w:rsid w:val="00B90A40"/>
    <w:rsid w:val="00BA07CE"/>
    <w:rsid w:val="00BB2094"/>
    <w:rsid w:val="00BC14B0"/>
    <w:rsid w:val="00C06DF9"/>
    <w:rsid w:val="00C245FB"/>
    <w:rsid w:val="00C65D20"/>
    <w:rsid w:val="00C93E0C"/>
    <w:rsid w:val="00CC0FF3"/>
    <w:rsid w:val="00CC1C44"/>
    <w:rsid w:val="00CD3546"/>
    <w:rsid w:val="00CD7C7A"/>
    <w:rsid w:val="00D03BCC"/>
    <w:rsid w:val="00D13E61"/>
    <w:rsid w:val="00D43757"/>
    <w:rsid w:val="00D47482"/>
    <w:rsid w:val="00D51C42"/>
    <w:rsid w:val="00D5263F"/>
    <w:rsid w:val="00D62B20"/>
    <w:rsid w:val="00D90713"/>
    <w:rsid w:val="00DA7E2B"/>
    <w:rsid w:val="00DB0730"/>
    <w:rsid w:val="00E12CEF"/>
    <w:rsid w:val="00E92306"/>
    <w:rsid w:val="00E9473F"/>
    <w:rsid w:val="00E97E87"/>
    <w:rsid w:val="00EB3C44"/>
    <w:rsid w:val="00EC3E10"/>
    <w:rsid w:val="00EF18E4"/>
    <w:rsid w:val="00F20323"/>
    <w:rsid w:val="00F3109D"/>
    <w:rsid w:val="00F35F45"/>
    <w:rsid w:val="00F438A2"/>
    <w:rsid w:val="00F627E2"/>
    <w:rsid w:val="00F73C7E"/>
    <w:rsid w:val="00F924AD"/>
    <w:rsid w:val="00FB6D76"/>
    <w:rsid w:val="00FE6620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6552D"/>
  <w15:docId w15:val="{0AD27DE2-6536-4316-AC05-155AAA81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438A2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rsid w:val="00F438A2"/>
    <w:pPr>
      <w:spacing w:before="100" w:after="100"/>
      <w:outlineLvl w:val="1"/>
    </w:pPr>
    <w:rPr>
      <w:rFonts w:eastAsia="Times New Roman"/>
      <w:b/>
      <w:bCs/>
      <w:color w:val="000000"/>
      <w:sz w:val="36"/>
      <w:szCs w:val="36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38A2"/>
    <w:rPr>
      <w:u w:val="single"/>
    </w:rPr>
  </w:style>
  <w:style w:type="table" w:customStyle="1" w:styleId="TableNormal1">
    <w:name w:val="Table Normal1"/>
    <w:rsid w:val="00F438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F438A2"/>
    <w:pPr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Kopf-undFuzeilen">
    <w:name w:val="Kopf- und Fußzeilen"/>
    <w:rsid w:val="00F438A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sid w:val="00F438A2"/>
    <w:rPr>
      <w:color w:val="0563C1"/>
      <w:u w:val="single" w:color="0563C1"/>
    </w:rPr>
  </w:style>
  <w:style w:type="character" w:customStyle="1" w:styleId="Hyperlink0">
    <w:name w:val="Hyperlink.0"/>
    <w:basedOn w:val="Link"/>
    <w:rsid w:val="00F438A2"/>
    <w:rPr>
      <w:rFonts w:ascii="SourceSansPro-Semibold" w:eastAsia="SourceSansPro-Semibold" w:hAnsi="SourceSansPro-Semibold" w:cs="SourceSansPro-Semibold"/>
      <w:i/>
      <w:iCs/>
      <w:color w:val="0563C1"/>
      <w:sz w:val="16"/>
      <w:szCs w:val="16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1A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4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648"/>
    <w:rPr>
      <w:rFonts w:ascii="Calibri" w:eastAsia="Calibri" w:hAnsi="Calibri" w:cs="Calibri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648"/>
    <w:rPr>
      <w:rFonts w:ascii="Calibri" w:eastAsia="Calibri" w:hAnsi="Calibri" w:cs="Calibri"/>
      <w:b/>
      <w:bCs/>
      <w:color w:val="00000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60C6E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7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0B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xrtl">
    <w:name w:val="xr_tl"/>
    <w:basedOn w:val="DefaultParagraphFont"/>
    <w:rsid w:val="00213AC4"/>
  </w:style>
  <w:style w:type="paragraph" w:styleId="ListParagraph">
    <w:name w:val="List Paragraph"/>
    <w:basedOn w:val="Normal"/>
    <w:uiPriority w:val="34"/>
    <w:qFormat/>
    <w:rsid w:val="004B5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fr-BE" w:eastAsia="fr-B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26D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9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0C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51C42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253">
          <w:marLeft w:val="547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575">
          <w:marLeft w:val="547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108">
          <w:marLeft w:val="116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07">
          <w:marLeft w:val="1166"/>
          <w:marRight w:val="0"/>
          <w:marTop w:val="8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91">
          <w:marLeft w:val="547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542">
          <w:marLeft w:val="547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549">
          <w:marLeft w:val="547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583">
          <w:marLeft w:val="547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10">
          <w:marLeft w:val="547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177">
          <w:marLeft w:val="547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0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6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4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3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6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2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2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1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6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kub\AppData\Local\Microsoft\Windows\INetCache\Content.Outlook\5WGJVC9N\www.fediaf.org\self-regulation\safety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diaf@fedia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diaf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7f2b7e14-2cea-45c2-b398-0486aa4c10c5@eurprd08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61EC6-3B9A-400A-A020-836AABE0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American Language Service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Jakub Rusek</cp:lastModifiedBy>
  <cp:revision>2</cp:revision>
  <cp:lastPrinted>2018-10-08T15:25:00Z</cp:lastPrinted>
  <dcterms:created xsi:type="dcterms:W3CDTF">2018-10-12T07:56:00Z</dcterms:created>
  <dcterms:modified xsi:type="dcterms:W3CDTF">2018-10-12T07:56:00Z</dcterms:modified>
</cp:coreProperties>
</file>